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C29" w:rsidRDefault="00BB254B" w:rsidP="00BB254B">
      <w:pPr>
        <w:spacing w:after="0"/>
        <w:ind w:left="45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-714044</wp:posOffset>
            </wp:positionH>
            <wp:positionV relativeFrom="paragraph">
              <wp:posOffset>-309160</wp:posOffset>
            </wp:positionV>
            <wp:extent cx="1031240" cy="933450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</w:t>
      </w:r>
    </w:p>
    <w:p w:rsidR="00AB6C29" w:rsidRDefault="00BB254B">
      <w:pPr>
        <w:spacing w:after="0"/>
        <w:ind w:left="207" w:right="-197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ERZURUM TEKNİK ÜNİVERSİTESİ </w:t>
      </w:r>
    </w:p>
    <w:p w:rsidR="00AB6C29" w:rsidRDefault="00BB254B">
      <w:pPr>
        <w:spacing w:after="0"/>
        <w:ind w:left="207" w:right="-197" w:hanging="10"/>
        <w:jc w:val="center"/>
      </w:pPr>
      <w:r>
        <w:rPr>
          <w:rFonts w:ascii="Times New Roman" w:eastAsia="Times New Roman" w:hAnsi="Times New Roman" w:cs="Times New Roman"/>
          <w:b/>
        </w:rPr>
        <w:t>SPOR BİLİMLERİ</w:t>
      </w:r>
      <w:r>
        <w:rPr>
          <w:rFonts w:ascii="Times New Roman" w:eastAsia="Times New Roman" w:hAnsi="Times New Roman" w:cs="Times New Roman"/>
          <w:b/>
        </w:rPr>
        <w:t xml:space="preserve"> FAKÜLTESİ </w:t>
      </w:r>
    </w:p>
    <w:p w:rsidR="00AB6C29" w:rsidRDefault="00BB254B">
      <w:pPr>
        <w:spacing w:after="0"/>
      </w:pPr>
      <w:r>
        <w:t xml:space="preserve"> </w:t>
      </w:r>
    </w:p>
    <w:p w:rsidR="00AB6C29" w:rsidRDefault="00BB254B">
      <w:pPr>
        <w:spacing w:after="198"/>
        <w:ind w:right="226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B6C29" w:rsidRDefault="00BB254B">
      <w:pPr>
        <w:spacing w:after="156"/>
        <w:ind w:right="280"/>
        <w:jc w:val="right"/>
      </w:pPr>
      <w:r>
        <w:rPr>
          <w:rFonts w:ascii="Times New Roman" w:eastAsia="Times New Roman" w:hAnsi="Times New Roman" w:cs="Times New Roman"/>
          <w:b/>
        </w:rPr>
        <w:t xml:space="preserve">Kayıt Dondurma Başvuru Dilekçesi </w:t>
      </w:r>
    </w:p>
    <w:p w:rsidR="00AB6C29" w:rsidRDefault="00BB254B">
      <w:pPr>
        <w:spacing w:after="205"/>
        <w:ind w:right="226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B6C29" w:rsidRDefault="00BB254B">
      <w:pPr>
        <w:spacing w:after="156"/>
        <w:ind w:left="900" w:hanging="10"/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.BÖLÜM BAŞKANLIĞINA </w:t>
      </w:r>
    </w:p>
    <w:p w:rsidR="00AB6C29" w:rsidRDefault="00BB254B">
      <w:pPr>
        <w:spacing w:after="201"/>
        <w:ind w:left="48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B6C29" w:rsidRDefault="00BB254B">
      <w:pPr>
        <w:spacing w:after="38"/>
        <w:ind w:right="1"/>
        <w:jc w:val="right"/>
      </w:pPr>
      <w:r>
        <w:rPr>
          <w:rFonts w:ascii="Times New Roman" w:eastAsia="Times New Roman" w:hAnsi="Times New Roman" w:cs="Times New Roman"/>
        </w:rPr>
        <w:t xml:space="preserve">Erzurum Teknik Üniversitesi Lisans Eğitim-Öğretim ve Sınav Yönetmeliği 34. maddesi </w:t>
      </w:r>
    </w:p>
    <w:p w:rsidR="00AB6C29" w:rsidRDefault="00BB254B">
      <w:pPr>
        <w:tabs>
          <w:tab w:val="center" w:pos="1863"/>
          <w:tab w:val="center" w:pos="3528"/>
          <w:tab w:val="center" w:pos="4786"/>
          <w:tab w:val="center" w:pos="5819"/>
          <w:tab w:val="center" w:pos="6704"/>
          <w:tab w:val="right" w:pos="9354"/>
        </w:tabs>
        <w:spacing w:after="2"/>
        <w:ind w:left="-15"/>
      </w:pPr>
      <w:proofErr w:type="gramStart"/>
      <w:r>
        <w:rPr>
          <w:rFonts w:ascii="Times New Roman" w:eastAsia="Times New Roman" w:hAnsi="Times New Roman" w:cs="Times New Roman"/>
        </w:rPr>
        <w:t>gereğince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20…../20….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eğitim</w:t>
      </w:r>
      <w:proofErr w:type="gramEnd"/>
      <w:r>
        <w:rPr>
          <w:rFonts w:ascii="Times New Roman" w:eastAsia="Times New Roman" w:hAnsi="Times New Roman" w:cs="Times New Roman"/>
        </w:rPr>
        <w:t xml:space="preserve">-öğretim </w:t>
      </w:r>
      <w:r>
        <w:rPr>
          <w:rFonts w:ascii="Times New Roman" w:eastAsia="Times New Roman" w:hAnsi="Times New Roman" w:cs="Times New Roman"/>
        </w:rPr>
        <w:tab/>
        <w:t xml:space="preserve">yılı </w:t>
      </w:r>
      <w:r>
        <w:rPr>
          <w:rFonts w:ascii="Times New Roman" w:eastAsia="Times New Roman" w:hAnsi="Times New Roman" w:cs="Times New Roman"/>
        </w:rPr>
        <w:tab/>
        <w:t xml:space="preserve">güz/bahar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yarıyılında/yarıyıllarında </w:t>
      </w:r>
    </w:p>
    <w:p w:rsidR="00AB6C29" w:rsidRDefault="00BB254B">
      <w:pPr>
        <w:spacing w:after="2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……………………………………………………………………..…………………………………………</w:t>
      </w:r>
    </w:p>
    <w:p w:rsidR="00AB6C29" w:rsidRDefault="00BB254B">
      <w:pPr>
        <w:spacing w:after="2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………………………………………………….……………………………………………………………</w:t>
      </w:r>
    </w:p>
    <w:p w:rsidR="00AB6C29" w:rsidRDefault="00BB254B">
      <w:pPr>
        <w:spacing w:after="198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nedeniyle </w:t>
      </w:r>
      <w:r>
        <w:rPr>
          <w:rFonts w:ascii="Times New Roman" w:eastAsia="Times New Roman" w:hAnsi="Times New Roman" w:cs="Times New Roman"/>
          <w:b/>
          <w:u w:val="single" w:color="000000"/>
        </w:rPr>
        <w:t>Kaydımı Dondurmak</w:t>
      </w:r>
      <w:r>
        <w:rPr>
          <w:rFonts w:ascii="Times New Roman" w:eastAsia="Times New Roman" w:hAnsi="Times New Roman" w:cs="Times New Roman"/>
        </w:rPr>
        <w:t xml:space="preserve"> istiyorum. </w:t>
      </w:r>
    </w:p>
    <w:p w:rsidR="00AB6C29" w:rsidRDefault="00BB254B">
      <w:pPr>
        <w:spacing w:after="330"/>
        <w:ind w:left="718" w:hanging="10"/>
      </w:pPr>
      <w:r>
        <w:rPr>
          <w:rFonts w:ascii="Times New Roman" w:eastAsia="Times New Roman" w:hAnsi="Times New Roman" w:cs="Times New Roman"/>
        </w:rPr>
        <w:t xml:space="preserve">Bilgilerinizi ve gereğini arz ederim. 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 xml:space="preserve">/.…./20.… </w:t>
      </w:r>
    </w:p>
    <w:p w:rsidR="00AB6C29" w:rsidRPr="00BB254B" w:rsidRDefault="00BB254B">
      <w:pPr>
        <w:spacing w:after="87"/>
        <w:ind w:left="919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BB254B">
        <w:rPr>
          <w:rFonts w:ascii="Times New Roman" w:eastAsia="Times New Roman" w:hAnsi="Times New Roman" w:cs="Times New Roman"/>
          <w:b/>
          <w:sz w:val="24"/>
          <w:szCs w:val="24"/>
        </w:rPr>
        <w:t xml:space="preserve">İmza  </w:t>
      </w:r>
    </w:p>
    <w:p w:rsidR="00AB6C29" w:rsidRDefault="00BB254B">
      <w:pPr>
        <w:spacing w:after="156"/>
        <w:ind w:right="22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B6C29" w:rsidRDefault="00BB254B">
      <w:pPr>
        <w:spacing w:after="0"/>
        <w:ind w:right="22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785" w:type="dxa"/>
        <w:tblInd w:w="-428" w:type="dxa"/>
        <w:tblCellMar>
          <w:top w:w="14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9"/>
        <w:gridCol w:w="6806"/>
      </w:tblGrid>
      <w:tr w:rsidR="00AB6C29">
        <w:trPr>
          <w:trHeight w:val="302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29" w:rsidRDefault="00BB254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ÖĞRENCİ BİLGİLERİ </w:t>
            </w:r>
          </w:p>
        </w:tc>
      </w:tr>
      <w:tr w:rsidR="00AB6C29">
        <w:trPr>
          <w:trHeight w:val="30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29" w:rsidRDefault="00BB25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Adı-Soyadı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29" w:rsidRDefault="00BB254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6C29">
        <w:trPr>
          <w:trHeight w:val="303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29" w:rsidRDefault="00BB25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Öğrenci No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29" w:rsidRDefault="00BB254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6C29">
        <w:trPr>
          <w:trHeight w:val="30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29" w:rsidRDefault="00BB25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Bölümü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29" w:rsidRDefault="00BB254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6C29">
        <w:trPr>
          <w:trHeight w:val="30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29" w:rsidRDefault="00BB25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Telefon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29" w:rsidRDefault="00BB254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6C29">
        <w:trPr>
          <w:trHeight w:val="302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29" w:rsidRDefault="00BB254B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posta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29" w:rsidRDefault="00BB254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6C29">
        <w:trPr>
          <w:trHeight w:val="346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29" w:rsidRDefault="00BB25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Önceki Yarıyıllarda/Yılda Kayıt Dondurma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Durumu: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         Var: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Yok: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B6C29" w:rsidRDefault="00BB254B">
      <w:pPr>
        <w:spacing w:after="184"/>
        <w:ind w:right="22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B6C29" w:rsidRDefault="00BB254B">
      <w:pPr>
        <w:spacing w:after="156"/>
        <w:ind w:left="-5" w:hanging="10"/>
      </w:pPr>
      <w:proofErr w:type="gramStart"/>
      <w:r>
        <w:rPr>
          <w:rFonts w:ascii="Times New Roman" w:eastAsia="Times New Roman" w:hAnsi="Times New Roman" w:cs="Times New Roman"/>
          <w:b/>
        </w:rPr>
        <w:t>EK:  Mazeretini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Gösterir Belge </w:t>
      </w:r>
    </w:p>
    <w:p w:rsidR="00AB6C29" w:rsidRDefault="00BB254B">
      <w:pPr>
        <w:spacing w:after="0"/>
        <w:ind w:right="22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785" w:type="dxa"/>
        <w:tblInd w:w="-428" w:type="dxa"/>
        <w:tblCellMar>
          <w:top w:w="15" w:type="dxa"/>
          <w:left w:w="11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9785"/>
      </w:tblGrid>
      <w:tr w:rsidR="00AB6C29">
        <w:trPr>
          <w:trHeight w:val="262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29" w:rsidRDefault="00BB25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ERZURUM TEKNİK ÜNİVERSİTESİ LİSANS EĞİTİM-ÖĞRETİM VE SINAV YÖNETMELİĞİ </w:t>
            </w:r>
          </w:p>
        </w:tc>
      </w:tr>
      <w:tr w:rsidR="00AB6C29">
        <w:trPr>
          <w:trHeight w:val="3140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29" w:rsidRDefault="00BB254B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MADDE 34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–  </w:t>
            </w:r>
          </w:p>
          <w:p w:rsidR="00AB6C29" w:rsidRDefault="00BB254B">
            <w:pPr>
              <w:numPr>
                <w:ilvl w:val="0"/>
                <w:numId w:val="1"/>
              </w:numPr>
              <w:spacing w:after="0"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Kayıt dondurmak için yapılacak başvurular yarıyılın/yılın ilk on iş günü içinde yapılır. Sağlık nedenine dayanan kayıt dondurma istekleri bu sürenin dışındadır. Kayıt dondurma işlemini gerektirecek haklı ve geçerli nedenlerle mazereti kabul edilen öğrencil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erin öğrenim süreleri, ilgili yönetim kurulu kararı ile dondurulur.  </w:t>
            </w:r>
          </w:p>
          <w:p w:rsidR="00AB6C29" w:rsidRDefault="00BB254B">
            <w:pPr>
              <w:numPr>
                <w:ilvl w:val="0"/>
                <w:numId w:val="1"/>
              </w:numPr>
              <w:spacing w:after="0" w:line="28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Öğrencinin kayıt dondurma isteği bir yarıyıldan/yıldan az olamaz. Sağlıkla ilgili nedenler hariç, haklı ve geçerli nedenler çerçevesinde eğitim-öğretim süresince en çok iki yarıyıl/bir y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ıl süre ile kayıt dondurulabilir.  </w:t>
            </w:r>
          </w:p>
          <w:p w:rsidR="00AB6C29" w:rsidRDefault="00BB254B">
            <w:pPr>
              <w:numPr>
                <w:ilvl w:val="0"/>
                <w:numId w:val="1"/>
              </w:numPr>
              <w:spacing w:after="1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Sağlık sorunları nedeniyle kayıt dondurmada süre aranmaz.  </w:t>
            </w:r>
          </w:p>
          <w:p w:rsidR="00AB6C29" w:rsidRDefault="00BB254B">
            <w:pPr>
              <w:numPr>
                <w:ilvl w:val="0"/>
                <w:numId w:val="1"/>
              </w:numPr>
              <w:spacing w:after="0"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Öğrencinin tutuklu veya hükümlü olması durumunda, müracaat etmeleri halinde ilgili yönetim kurulunun kararı ile bu durumun sona ereceği tarihe kadar kaydı dondu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rulur.  </w:t>
            </w:r>
          </w:p>
          <w:p w:rsidR="00AB6C29" w:rsidRDefault="00BB254B">
            <w:pPr>
              <w:numPr>
                <w:ilvl w:val="0"/>
                <w:numId w:val="1"/>
              </w:numPr>
              <w:spacing w:after="0"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Kayıt dondurmak için dekanlığa/müdürlüğe başvuruda bulunan öğrencilerin kayıtları,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32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nci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maddede belirtilen haklı ve geçerli nedenlerin varlığı halinde bu maddede belirtilen esaslar çerçevesinde ilgili yönetim kurulu kararı ile dondurulabilir.  </w:t>
            </w:r>
          </w:p>
          <w:p w:rsidR="00AB6C29" w:rsidRDefault="00BB254B">
            <w:pPr>
              <w:numPr>
                <w:ilvl w:val="0"/>
                <w:numId w:val="1"/>
              </w:numPr>
              <w:spacing w:after="0"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Öğrenci, kayıt dondurduğu yarıyılda/yılda öğrenimine devam edemez ve sınavlara giremez. Kayıt donduran öğrencinin azami öğrenim süresi kayıt dondurma süresi kadar uzatılır.  </w:t>
            </w:r>
          </w:p>
          <w:p w:rsidR="00AB6C29" w:rsidRDefault="00BB254B"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Öğrencilerin, tek seferde raporlu oldukları sürenin devamsızlık süresini aşması durumunda -istemeleri halinde- öğrencilere kayıt dondurma işlemi uygulanır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AB6C29" w:rsidRDefault="00BB254B">
      <w:pPr>
        <w:spacing w:after="137"/>
      </w:pPr>
      <w:r>
        <w:rPr>
          <w:rFonts w:ascii="Times New Roman" w:eastAsia="Times New Roman" w:hAnsi="Times New Roman" w:cs="Times New Roman"/>
        </w:rPr>
        <w:t xml:space="preserve"> </w:t>
      </w:r>
    </w:p>
    <w:p w:rsidR="00AB6C29" w:rsidRDefault="00BB254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AB6C29" w:rsidSect="00BB254B">
      <w:pgSz w:w="11906" w:h="16838"/>
      <w:pgMar w:top="1440" w:right="1136" w:bottom="4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865"/>
    <w:multiLevelType w:val="hybridMultilevel"/>
    <w:tmpl w:val="5756EEF8"/>
    <w:lvl w:ilvl="0" w:tplc="295C3AB0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4E536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7AEAF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FCE12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98C8F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32D7C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BC262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A6CA7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B28CD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29"/>
    <w:rsid w:val="00AB6C29"/>
    <w:rsid w:val="00BB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7D4B"/>
  <w15:docId w15:val="{256E406B-0E41-4B90-92D8-5F1C9312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Delll</dc:creator>
  <cp:keywords/>
  <cp:lastModifiedBy>Edebiyat</cp:lastModifiedBy>
  <cp:revision>2</cp:revision>
  <dcterms:created xsi:type="dcterms:W3CDTF">2024-09-20T12:37:00Z</dcterms:created>
  <dcterms:modified xsi:type="dcterms:W3CDTF">2024-09-20T12:37:00Z</dcterms:modified>
</cp:coreProperties>
</file>