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8704A2" Type="http://schemas.openxmlformats.org/officeDocument/2006/relationships/officeDocument" Target="/word/document.xml" /><Relationship Id="coreR378704A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Look w:val="04A0"/>
      </w:tblPr>
      <w:tblGrid/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bookmarkStart w:id="0" w:name="_GoBack"/>
            <w:bookmarkEnd w:id="0"/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r>
      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>-Ödeme emri belgesi ve eki belgelerin mevzuata uygunluğu,</w:t>
            </w:r>
          </w:p>
          <w:p>
            <w:r>
              <w:t>-Belgelerin tamam olup olmadığı, hususlarında önceki işlemlerin kontrolünü de kapsayacak şekilde ön mali kontrol yaparlar.</w:t>
            </w:r>
          </w:p>
          <w:p>
            <w:r>
              <w:t>-İşlemlerin uygun görülmesi halinde, ödeme emri belgesi üzerine “Kontrol edilmiş ve uygun görülmüştür” şerhini düşerek imzalarlar,</w:t>
            </w:r>
          </w:p>
          <w:p>
            <w:r>
              <w:t>-Mali hizmetler birimince uygun görüş verilmiş olması, gerçekleştirme görevlilerinin sorumluluğunu ortadan kaldırmaz,</w:t>
            </w:r>
          </w:p>
          <w:p>
            <w:r>
              <w:t>-Harcama birimlerinde ödeme emri belgesi ve eki belgeler üzerinde ön mali kontrol görevi ödeme emri belgesini düzenlemekle görevlendirilen gerçekleştirme görevlisi tarafından yapılır.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>- Yukarıda belirtilen görev ve sorumlulukları gerçekleştirme yetkisine sahip olmak,</w:t>
            </w:r>
          </w:p>
          <w:p>
            <w:r>
              <w:t xml:space="preserve">-  Faaliyetlerin gerçekleştirilmesi için gerekli araç ve gereci kullanabilmek.</w:t>
            </w:r>
          </w:p>
          <w:p>
            <w:r>
              <w:t>- İmza yetkisine sahip olmak,</w:t>
            </w:r>
          </w:p>
          <w:p>
            <w:r>
              <w:t xml:space="preserve">-  Harcama yetkisi kullanmak.</w:t>
            </w:r>
          </w:p>
          <w:p>
            <w:r>
              <w:t xml:space="preserve">-  Emrindeki yönetici ve personele iş verme, yönlendirme, yaptıkları işleri kontrol etme, düzeltme, gerektiğinde uyarma, bilgi ve rapor isteme yetkisine sahip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>
            <w:r>
              <w:t>- 657 sayılı Devlet Memurları Kanunu,</w:t>
            </w:r>
          </w:p>
          <w:p>
            <w:r>
              <w:t xml:space="preserve">- 2547  sayılı Yükseköğretim kanunu </w:t>
            </w:r>
          </w:p>
          <w:p>
            <w:r>
              <w:t xml:space="preserve">- 5018 sayılı Kamu Mali Yönetimi ve Kontrol Kanunu ve ikincil Mevzuat </w:t>
            </w:r>
          </w:p>
          <w:p>
            <w:r>
              <w:t xml:space="preserve">- 6245 sayılı Harcırah Kanunu </w:t>
            </w:r>
          </w:p>
          <w:p>
            <w:r>
              <w:t xml:space="preserve">- 4734 sayılı Kamu İhale Kanunu </w:t>
            </w:r>
          </w:p>
          <w:p>
            <w:r>
              <w:t xml:space="preserve">- 4735 sayılı Kamu İhale Sözleşmeleri Kanunu, </w:t>
            </w:r>
          </w:p>
          <w:p>
            <w:r>
              <w:t xml:space="preserve">- 488 sayılı Damga vergisi Kanunu, </w:t>
            </w:r>
          </w:p>
          <w:p>
            <w:r>
              <w:t xml:space="preserve">- 213 sayılı Vergi Usul Kanunu, </w:t>
            </w:r>
          </w:p>
          <w:p>
            <w:r>
              <w:t xml:space="preserve">- 193 sayılı Gelir Vergisi Kanunu, </w:t>
            </w:r>
          </w:p>
          <w:p>
            <w:r>
              <w:t>- 6085 sayılı Sayıştay Kanunu,</w:t>
            </w:r>
          </w:p>
          <w:p>
            <w:r>
              <w:t xml:space="preserve">- 2489 sayılı Kefalet Kanunu, </w:t>
            </w:r>
          </w:p>
          <w:p>
            <w:r>
              <w:t xml:space="preserve">- 6183 sayılı Amme Alacaklarının Tahsil Usulü Hakkında Kanun, </w:t>
            </w:r>
          </w:p>
          <w:p>
            <w:r>
              <w:t>- 2005/9912 sayılı Muhasebe Yetkililerinin Eğitimi, Sertifika Verilmesi ile Çalışma Usul ve Esasları Hakkında Yönetmelik,</w:t>
            </w:r>
          </w:p>
          <w:p>
            <w:r>
              <w:t>-Merkezi Yönetim Harcama Belgeleri Yönetmeliği,</w:t>
            </w:r>
          </w:p>
          <w:p>
            <w:r>
              <w:t>-Merkezi Yönetim Muhasebe Yönetmeliği.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30"/>
        </w:trPr>
        <w:tc>
          <w:tcPr>
            <w:tcW w:w="9287" w:type="dxa"/>
            <w:shd w:val="clear" w:color="auto" w:fill="FFFFFF"/>
          </w:tcPr>
          <w:p>
            <w:r>
              <w:t>Lisans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>
            <w:r>
              <w:t>- 657 Sayılı Devlet Memurları Kanun’unda belirtilen genel niteliklere sahip olmak.</w:t>
            </w:r>
          </w:p>
          <w:p>
            <w:r>
              <w:t>- En az lisans mezunu olmak.</w:t>
            </w:r>
          </w:p>
          <w:p>
            <w:r>
              <w:t xml:space="preserve">-  Muhasebe işlemleri ile ilgili mevzuatı bilmek.</w:t>
            </w:r>
          </w:p>
          <w:p>
            <w:r>
              <w:t>- Görevini gereği gibi yerine getirebilmek için gerekli iş deneyimine sahip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>
            <w:r>
              <w:t>Herhangi bir yabancı dil bilgisi gerekmemektedir.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</w:tc>
      </w:tr>
    </w:tbl>
    <w:p/>
    <w:p>
      <w:pPr>
        <w:rPr>
          <w:sz w:val="10"/>
        </w:rPr>
      </w:pPr>
    </w:p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VE TEKNİK DAİRE BAŞKANLIĞI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GERÇEKLEŞTİRME GÖREVLİSİ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one" w:sz="0" w:space="0" w:shadow="0" w:frame="0"/>
        <w:left w:val="none" w:sz="0" w:space="0" w:shadow="0" w:frame="0"/>
        <w:bottom w:val="single" w:sz="24" w:space="0" w:shadow="0" w:frame="0" w:color="000000"/>
        <w:right w:val="none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one" w:sz="0" w:space="0" w:shadow="0" w:frame="0"/>
        <w:left w:val="single" w:sz="12" w:space="11" w:shadow="0" w:frame="0" w:color="A6A6A6"/>
        <w:bottom w:val="single" w:sz="12" w:space="3" w:shadow="0" w:frame="0" w:color="A6A6A6"/>
        <w:right w:val="none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2016-08-11T07:55:00Z</dcterms:created>
  <cp:lastModifiedBy>NT AUTHORITY\SYSTEM</cp:lastModifiedBy>
  <dcterms:modified xsi:type="dcterms:W3CDTF">2017-05-09T10:59:32Z</dcterms:modified>
  <cp:revision>59</cp:revision>
</cp:coreProperties>
</file>