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6E4BC56" Type="http://schemas.openxmlformats.org/officeDocument/2006/relationships/officeDocument" Target="/word/document.xml" /><Relationship Id="coreR36E4BC5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blPrEx>
          <w:tblW w:w="0" w:type="auto"/>
          <w:tbl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  <w:insideH w:val="single" w:sz="4" w:space="0" w:shadow="0" w:frame="0" w:color="000000"/>
            <w:insideV w:val="single" w:sz="4" w:space="0" w:shadow="0" w:frame="0" w:color="000000"/>
          </w:tblBorders>
          <w:tblLook w:val="04A0"/>
        </w:tblPrEx>
        <w:tc>
          <w:tcPr>
            <w:tcW w:w="9287" w:type="dxa"/>
            <w:shd w:val="clear" w:color="auto" w:fill="BCD7ED"/>
          </w:tcPr>
          <w:p>
            <w:pPr>
              <w:spacing w:lineRule="auto" w:line="240" w:beforeAutospacing="0" w:afterAutospacing="0"/>
              <w:contextualSpacing w:val="1"/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 xml:space="preserve">A- FAALİYET KONULARI </w:t>
            </w:r>
          </w:p>
        </w:tc>
      </w:tr>
      <w:tr>
        <w:tblPrEx>
          <w:tblW w:w="0" w:type="auto"/>
          <w:tblLook w:val="04A0"/>
        </w:tblPrEx>
        <w:trPr>
          <w:trHeight w:hRule="atLeast" w:val="1185"/>
        </w:trPr>
        <w:tc>
          <w:tcPr>
            <w:tcW w:w="9287" w:type="dxa"/>
          </w:tcPr>
          <w:p>
            <w:r>
              <w:t>Üniversitenin bina ve tesislerinin projelerini hazırlatmak, inşaatları kontrol etmek ve teslim almak, bakım ve onarım işleri, kalorifer, kazan dairesi, soğuk oda, jeneratör, havalandırma sistemleri ile telefon santralı , çevre düzenleme, asansör bakım ve onarımı ile benzer işlerin teknik dokümanlarını sağlamak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>B- GÖREVLERİ</w:t>
            </w:r>
          </w:p>
        </w:tc>
      </w:tr>
      <w:tr>
        <w:tblPrEx>
          <w:tblW w:w="0" w:type="auto"/>
          <w:tblLook w:val="04A0"/>
        </w:tblPrEx>
        <w:trPr>
          <w:trHeight w:hRule="atLeast" w:val="1410"/>
        </w:trPr>
        <w:tc>
          <w:tcPr>
            <w:tcW w:w="9287" w:type="dxa"/>
            <w:shd w:val="clear" w:color="auto" w:fill="FFFFFF"/>
          </w:tcPr>
          <w:p>
            <w:pPr>
              <w:spacing w:lineRule="auto" w:line="240" w:beforeAutospacing="0" w:afterAutospacing="0"/>
            </w:pPr>
            <w:r>
              <w:t>-Kalite politikasının ve kalite hedeflerinin İnşaat ve Etüd Proje Şube Müdürlüğü içerisinde iletilmesini, anlaşılmasını ve benimsenmesini sağlamak/sağlattırmak.</w:t>
            </w:r>
          </w:p>
          <w:p>
            <w:pPr>
              <w:spacing w:lineRule="auto" w:line="240" w:beforeAutospacing="0" w:afterAutospacing="0"/>
            </w:pPr>
            <w:r>
              <w:t>-Kalite politikası, kalite hedefleri ve ilgili prosedürler uyarınca, kalite yönetim sisteminin</w:t>
            </w:r>
            <w:r>
              <w:rPr>
                <w:rFonts w:ascii="Arial" w:hAnsi="Arial"/>
                <w:color w:val="808080"/>
              </w:rPr>
              <w:t> </w:t>
            </w:r>
            <w:r>
              <w:t>kurulması</w:t>
            </w:r>
            <w:r>
              <w:rPr>
                <w:rFonts w:ascii="Arial" w:hAnsi="Arial"/>
                <w:color w:val="808080"/>
              </w:rPr>
              <w:t> , </w:t>
            </w:r>
            <w:r>
              <w:t>geliştirilmesi, uygulanması ve etkinliğinin sürekli iyileştirilmesi için gerekli çalışmalarda bulunmak, destek sağlamak.</w:t>
            </w:r>
          </w:p>
          <w:p>
            <w:pPr>
              <w:spacing w:lineRule="auto" w:line="240" w:beforeAutospacing="0" w:afterAutospacing="0"/>
            </w:pPr>
            <w:r>
              <w:t>-Bina ve tesislerin projelerini yapmak, teknik inceleme ve projelendirme gerektiren her türlü işlerin fizibilite raporlarını hazırlamak,</w:t>
            </w:r>
          </w:p>
          <w:p>
            <w:pPr>
              <w:spacing w:lineRule="auto" w:line="240" w:beforeAutospacing="0" w:afterAutospacing="0"/>
            </w:pPr>
            <w:r>
              <w:t>-Arazi ve inşaatları kontrol etmek ve teslim almak,</w:t>
            </w:r>
          </w:p>
          <w:p>
            <w:pPr>
              <w:spacing w:lineRule="auto" w:line="240" w:beforeAutospacing="0" w:afterAutospacing="0"/>
            </w:pPr>
            <w:r>
              <w:t>-Hizmet faaliyetlerinin ekonomik ve etkin bir şekilde yerine getirilmesi için insan ve malzeme gibi mevcut kaynakların en uygun, en verimli şekilde kullanılmasını sağlamak,</w:t>
            </w:r>
          </w:p>
          <w:p>
            <w:pPr>
              <w:spacing w:lineRule="auto" w:line="240" w:beforeAutospacing="0" w:afterAutospacing="0"/>
            </w:pPr>
            <w:r>
              <w:t>-Birimin temel fonksiyonu olarak belirtilen ve doğrudan yönetilen faaliyetlere ilişkin olarak yönetim düzeyinde genel politikalar ve grup politikaları ile uyumlu politikalar belirlemek, bu hususta önerilerde bulunmak,</w:t>
            </w:r>
          </w:p>
          <w:p>
            <w:pPr>
              <w:spacing w:lineRule="auto" w:line="240" w:beforeAutospacing="0" w:afterAutospacing="0"/>
            </w:pPr>
            <w:r>
              <w:t>-Yıllık çalışma programlarını ilgili birimlerle işbirliği yaparak hazırlamak,</w:t>
            </w:r>
          </w:p>
          <w:p>
            <w:pPr>
              <w:spacing w:lineRule="auto" w:line="240" w:beforeAutospacing="0" w:afterAutospacing="0"/>
            </w:pPr>
            <w:r>
              <w:t>-Personelin belirlenen politikaları anlamalarını ve belirlenmiş faaliyetlerin uygulanmasını, yerine getirilmesini sağlamak,</w:t>
            </w:r>
          </w:p>
          <w:p>
            <w:pPr>
              <w:spacing w:lineRule="auto" w:line="240" w:beforeAutospacing="0" w:afterAutospacing="0"/>
            </w:pPr>
            <w:r>
              <w:t>-Birim faaliyetlerinin yürütülmesi, yönlendirilmesi ve değerlendirilmesi için, birimine tahsis edilen personel, yer, malzeme ve diğer kaynaklarla geleceğe yönelik olarak hedefler ve standartlar belirlemek,</w:t>
            </w:r>
          </w:p>
          <w:p>
            <w:pPr>
              <w:spacing w:lineRule="auto" w:line="240" w:beforeAutospacing="0" w:afterAutospacing="0"/>
            </w:pPr>
            <w:r>
              <w:t>-Birimdeki personel ve diğer birimlerin personeli arasında aksamayan, uyumlu bir haberleşme ve işbirliği düzenini kurmak,</w:t>
            </w:r>
          </w:p>
          <w:p>
            <w:pPr>
              <w:spacing w:lineRule="auto" w:line="240" w:beforeAutospacing="0" w:afterAutospacing="0"/>
            </w:pPr>
            <w:r>
              <w:t>-Birim faaliyetlerinin etkin bir şekilde uygulanıp, yürütülebilmesi için gereken düzeyde sorumluluk ve yetkiyi astlarına devretmek sonuçlara yönelik sorumluluk ve yetkiyi elinde tutmak,</w:t>
            </w:r>
          </w:p>
          <w:p>
            <w:pPr>
              <w:spacing w:lineRule="auto" w:line="240" w:beforeAutospacing="0" w:afterAutospacing="0"/>
            </w:pPr>
            <w:r>
              <w:t>-Birimdeki kadrolara ilişkin görevler, yetkiler ve sorumluluklar ile bu kadro görevlerine atanacaklarda aranan özel niteliklerde değişikliği gerektiren hususları tespit etmek,</w:t>
            </w:r>
          </w:p>
          <w:p>
            <w:pPr>
              <w:spacing w:lineRule="auto" w:line="240" w:beforeAutospacing="0" w:afterAutospacing="0"/>
            </w:pPr>
            <w:r>
              <w:t>-Daire faaliyetlerinin yürütülebilmesi için gerekli elemanların seçiminde, görevden alınmalarında, terfi ve atamalarında, ödüllendirme ve cezalandırmalarında öneride bulunmak. Astlarından kendisine iletilen personelin ihtiyaçlarına ve hizmet kalitesindeki olumsuzluklara  yönelik önerileri incelenmek, değerlendirmek,</w:t>
            </w:r>
          </w:p>
          <w:p>
            <w:pPr>
              <w:spacing w:lineRule="auto" w:line="240" w:beforeAutospacing="0" w:afterAutospacing="0"/>
            </w:pPr>
            <w:r>
              <w:t>-Personelin eğitim ihtiyacını tespit etmek, sorumluluklarını yerine getirebilmeleri için gerekli bilgi ve donanımla donatılmalarını sağlamak. Astları tarafından önerilen hizmet içi eğitim ihtiyaçlarını incelemek, bu hususta programlar hazırlamak,</w:t>
            </w:r>
          </w:p>
          <w:p>
            <w:pPr>
              <w:spacing w:lineRule="auto" w:line="240" w:beforeAutospacing="0" w:afterAutospacing="0"/>
            </w:pPr>
            <w:r>
              <w:t>-Birimler arası görev dağılımındaki yönlendirmeyi yapmak, astların işlerine koordine etmek,</w:t>
            </w:r>
          </w:p>
          <w:p>
            <w:pPr>
              <w:spacing w:lineRule="auto" w:line="240" w:beforeAutospacing="0" w:afterAutospacing="0"/>
            </w:pPr>
            <w:r>
              <w:t>-Başkanlığa havale edilen iş ve evrakların ilgili personele havalesini yapmak ve gereğini sağlamak, cevap yazılarının hazırlanmasına, günlük işlerin imza takibinin yapılmasını ve sonuçlandırılmasını sağlamak,</w:t>
            </w:r>
          </w:p>
          <w:p/>
        </w:tc>
      </w:tr>
    </w:tbl>
    <w:p>
      <w:pPr>
        <w:rPr>
          <w:rFonts w:ascii="Arial" w:hAnsi="Arial"/>
          <w:sz w:val="28"/>
        </w:rPr>
      </w:pPr>
    </w:p>
    <w:sectPr>
      <w:headerReference xmlns:r="http://schemas.openxmlformats.org/officeDocument/2006/relationships" w:type="default" r:id="RelHdr1"/>
      <w:type w:val="nextPage"/>
      <w:pgSz w:w="11906" w:h="16838" w:code="0"/>
      <w:pgMar w:left="1417" w:right="1417" w:top="993" w:bottom="1417" w:header="426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tabs>
        <w:tab w:val="clear" w:pos="7143" w:leader="none"/>
        <w:tab w:val="clear" w:pos="14287" w:leader="none"/>
      </w:tabs>
      <w:rPr>
        <w:sz w:val="20"/>
      </w:rPr>
    </w:pPr>
  </w:p>
  <w:tbl>
    <w:tblPr>
      <w:tblStyle w:val="T2"/>
      <w:tblW w:w="918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Layout w:type="fixed"/>
      <w:tblLook w:val="04A0"/>
    </w:tblPr>
    <w:tblGrid/>
    <w:tr>
      <w:tblPrEx>
        <w:tblW w:w="918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Ex>
      <w:trPr>
        <w:trHeight w:hRule="atLeast" w:val="447"/>
      </w:trPr>
      <w:tc>
        <w:tcPr>
          <w:tcW w:w="2376" w:type="dxa"/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BİRİM ADI</w:t>
          </w:r>
        </w:p>
      </w:tc>
      <w:tc>
        <w:tcPr>
          <w:tcW w:w="6804" w:type="dxa"/>
          <w:vAlign w:val="center"/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  <w:r>
            <w:rPr>
              <w:b w:val="1"/>
            </w:rPr>
            <w:t>YAPI İŞLERİ ETÜT PROJE ŞUBE MÜDÜRLÜĞÜ</w:t>
          </w:r>
        </w:p>
      </w:tc>
    </w:tr>
    <w:tr>
      <w:tblPrEx>
        <w:tblW w:w="9180" w:type="dxa"/>
        <w:tblLayout w:type="fixed"/>
        <w:tblLook w:val="04A0"/>
      </w:tblPrEx>
      <w:trPr>
        <w:trHeight w:hRule="atLeast" w:val="203"/>
      </w:trPr>
      <w:tc>
        <w:tcPr>
          <w:tcW w:w="2376" w:type="dxa"/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BAĞLI OLDUĞU BİRİM</w:t>
          </w:r>
        </w:p>
      </w:tc>
      <w:tc>
        <w:tcPr>
          <w:tcW w:w="6804" w:type="dxa"/>
          <w:vAlign w:val="center"/>
        </w:tcPr>
        <w:p>
          <w:r>
            <w:t>YAPI İŞLERİ VE TEKNİK DAİRE BAŞKANLIĞI</w:t>
          </w:r>
        </w:p>
      </w:tc>
    </w:tr>
  </w:tbl>
  <w:p/>
</w:hdr>
</file>

<file path=word/numbering.xml><?xml version="1.0" encoding="utf-8"?>
<w:numbering xmlns:w="http://schemas.openxmlformats.org/wordprocessingml/2006/main">
  <w:abstractNum w:abstractNumId="0">
    <w:nsid w:val="7AC84B9A"/>
    <w:multiLevelType w:val="multilevel"/>
    <w:lvl w:ilvl="0">
      <w:start w:val="1"/>
      <w:numFmt w:val="bullet"/>
      <w:suff w:val="tab"/>
      <w:lvlText w:val=""/>
      <w:lvlJc w:val="left"/>
      <w:pPr>
        <w:ind w:hanging="358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8" w:left="1440"/>
      </w:pPr>
      <w:rPr>
        <w:rFonts w:ascii="Courier New" w:hAnsi="Courier New"/>
      </w:rPr>
    </w:lvl>
    <w:lvl w:ilvl="2">
      <w:start w:val="3"/>
      <w:numFmt w:val="bullet"/>
      <w:suff w:val="tab"/>
      <w:lvlText w:val="-"/>
      <w:lvlJc w:val="left"/>
      <w:pPr>
        <w:ind w:hanging="358" w:left="2160"/>
      </w:pPr>
      <w:rPr>
        <w:rFonts w:ascii="Arial" w:hAnsi="Arial"/>
      </w:rPr>
    </w:lvl>
    <w:lvl w:ilvl="3">
      <w:start w:val="1"/>
      <w:numFmt w:val="bullet"/>
      <w:suff w:val="tab"/>
      <w:lvlText w:val=""/>
      <w:lvlJc w:val="left"/>
      <w:pPr>
        <w:ind w:hanging="358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58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58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58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8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58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tr-TR" w:bidi="ar-SA" w:eastAsia="en-US"/>
      </w:rPr>
    </w:rPrDefault>
    <w:pPrDefault>
      <w:pPr>
        <w:keepNext w:val="0"/>
        <w:keepLines w:val="0"/>
        <w:widowControl w:val="1"/>
        <w:suppressLineNumbers w:val="0"/>
        <w:pBdr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</w:pBdr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0" w:beforeAutospacing="0" w:afterAutospacing="0"/>
      <w:outlineLvl w:val="0"/>
    </w:pPr>
    <w:rPr>
      <w:b w:val="1"/>
      <w:sz w:val="48"/>
    </w:rPr>
  </w:style>
  <w:style w:type="paragraph" w:styleId="P2">
    <w:name w:val="heading 2"/>
    <w:basedOn w:val="P0"/>
    <w:next w:val="P0"/>
    <w:qFormat/>
    <w:pPr>
      <w:keepNext w:val="1"/>
      <w:keepLines w:val="1"/>
      <w:spacing w:before="200" w:after="0" w:beforeAutospacing="0" w:afterAutospacing="0"/>
      <w:outlineLvl w:val="1"/>
    </w:pPr>
    <w:rPr>
      <w:b w:val="1"/>
      <w:sz w:val="40"/>
    </w:rPr>
  </w:style>
  <w:style w:type="paragraph" w:styleId="P3">
    <w:name w:val="heading 3"/>
    <w:basedOn w:val="P0"/>
    <w:next w:val="P0"/>
    <w:qFormat/>
    <w:pPr>
      <w:keepNext w:val="1"/>
      <w:keepLines w:val="1"/>
      <w:spacing w:before="200" w:after="0" w:beforeAutospacing="0" w:afterAutospacing="0"/>
      <w:outlineLvl w:val="2"/>
    </w:pPr>
    <w:rPr>
      <w:b w:val="1"/>
      <w:i w:val="1"/>
      <w:sz w:val="36"/>
    </w:rPr>
  </w:style>
  <w:style w:type="paragraph" w:styleId="P4">
    <w:name w:val="heading 4"/>
    <w:basedOn w:val="P0"/>
    <w:next w:val="P0"/>
    <w:qFormat/>
    <w:pPr>
      <w:keepNext w:val="1"/>
      <w:keepLines w:val="1"/>
      <w:spacing w:before="200" w:after="0" w:beforeAutospacing="0" w:afterAutospacing="0"/>
      <w:outlineLvl w:val="3"/>
    </w:pPr>
    <w:rPr>
      <w:color w:val="232323"/>
      <w:sz w:val="32"/>
    </w:rPr>
  </w:style>
  <w:style w:type="paragraph" w:styleId="P5">
    <w:name w:val="heading 5"/>
    <w:basedOn w:val="P0"/>
    <w:next w:val="P0"/>
    <w:qFormat/>
    <w:pPr>
      <w:keepNext w:val="1"/>
      <w:keepLines w:val="1"/>
      <w:spacing w:before="200" w:after="0" w:beforeAutospacing="0" w:afterAutospacing="0"/>
      <w:outlineLvl w:val="4"/>
    </w:pPr>
    <w:rPr>
      <w:b w:val="1"/>
      <w:color w:val="444444"/>
      <w:sz w:val="28"/>
    </w:rPr>
  </w:style>
  <w:style w:type="paragraph" w:styleId="P6">
    <w:name w:val="heading 6"/>
    <w:basedOn w:val="P0"/>
    <w:next w:val="P0"/>
    <w:qFormat/>
    <w:pPr>
      <w:keepNext w:val="1"/>
      <w:keepLines w:val="1"/>
      <w:spacing w:before="200" w:after="0" w:beforeAutospacing="0" w:afterAutospacing="0"/>
      <w:outlineLvl w:val="5"/>
    </w:pPr>
    <w:rPr>
      <w:i w:val="1"/>
      <w:color w:val="232323"/>
      <w:sz w:val="28"/>
    </w:rPr>
  </w:style>
  <w:style w:type="paragraph" w:styleId="P7">
    <w:name w:val="heading 7"/>
    <w:basedOn w:val="P0"/>
    <w:next w:val="P0"/>
    <w:qFormat/>
    <w:pPr>
      <w:keepNext w:val="1"/>
      <w:keepLines w:val="1"/>
      <w:spacing w:before="200" w:after="0" w:beforeAutospacing="0" w:afterAutospacing="0"/>
      <w:outlineLvl w:val="6"/>
    </w:pPr>
    <w:rPr>
      <w:b w:val="1"/>
      <w:color w:val="606060"/>
      <w:sz w:val="24"/>
    </w:rPr>
  </w:style>
  <w:style w:type="paragraph" w:styleId="P8">
    <w:name w:val="heading 8"/>
    <w:basedOn w:val="P0"/>
    <w:next w:val="P0"/>
    <w:qFormat/>
    <w:pPr>
      <w:keepNext w:val="1"/>
      <w:keepLines w:val="1"/>
      <w:spacing w:before="200" w:after="0" w:beforeAutospacing="0" w:afterAutospacing="0"/>
      <w:outlineLvl w:val="7"/>
    </w:pPr>
    <w:rPr>
      <w:color w:val="444444"/>
      <w:sz w:val="24"/>
    </w:rPr>
  </w:style>
  <w:style w:type="paragraph" w:styleId="P9">
    <w:name w:val="heading 9"/>
    <w:basedOn w:val="P0"/>
    <w:next w:val="P0"/>
    <w:qFormat/>
    <w:pPr>
      <w:keepNext w:val="1"/>
      <w:keepLines w:val="1"/>
      <w:spacing w:before="200" w:after="0" w:beforeAutospacing="0" w:afterAutospacing="0"/>
      <w:outlineLvl w:val="8"/>
    </w:pPr>
    <w:rPr>
      <w:i w:val="1"/>
      <w:color w:val="444444"/>
      <w:sz w:val="23"/>
    </w:rPr>
  </w:style>
  <w:style w:type="paragraph" w:styleId="P10">
    <w:name w:val="No Spacing"/>
    <w:qFormat/>
    <w:pPr>
      <w:spacing w:lineRule="auto" w:line="240" w:after="0" w:beforeAutospacing="0" w:afterAutospacing="0"/>
    </w:pPr>
    <w:rPr/>
  </w:style>
  <w:style w:type="paragraph" w:styleId="P11">
    <w:name w:val="Title"/>
    <w:basedOn w:val="P0"/>
    <w:next w:val="P0"/>
    <w:qFormat/>
    <w:pPr>
      <w:pBdr>
        <w:top w:val="nil" w:sz="0" w:space="0" w:shadow="0" w:frame="0"/>
        <w:left w:val="nil" w:sz="0" w:space="0" w:shadow="0" w:frame="0"/>
        <w:bottom w:val="single" w:sz="24" w:space="0" w:shadow="0" w:frame="0" w:color="000000"/>
        <w:right w:val="nil" w:sz="0" w:space="0" w:shadow="0" w:frame="0"/>
      </w:pBdr>
      <w:spacing w:lineRule="auto" w:line="240" w:before="300" w:after="80" w:beforeAutospacing="0" w:afterAutospacing="0"/>
    </w:pPr>
    <w:rPr>
      <w:b w:val="1"/>
      <w:sz w:val="72"/>
    </w:rPr>
  </w:style>
  <w:style w:type="paragraph" w:styleId="P12">
    <w:name w:val="Subtitle"/>
    <w:basedOn w:val="P0"/>
    <w:next w:val="P0"/>
    <w:qFormat/>
    <w:pPr>
      <w:spacing w:lineRule="auto" w:line="240" w:beforeAutospacing="0" w:afterAutospacing="0"/>
    </w:pPr>
    <w:rPr>
      <w:i w:val="1"/>
      <w:color w:val="444444"/>
      <w:sz w:val="52"/>
    </w:rPr>
  </w:style>
  <w:style w:type="paragraph" w:styleId="P13">
    <w:name w:val="Quote"/>
    <w:basedOn w:val="P0"/>
    <w:next w:val="P0"/>
    <w:qFormat/>
    <w:pPr>
      <w:pBdr>
        <w:top w:val="nil" w:sz="0" w:space="0" w:shadow="0" w:frame="0"/>
        <w:left w:val="single" w:sz="12" w:space="11" w:shadow="0" w:frame="0" w:color="A6A6A6"/>
        <w:bottom w:val="single" w:sz="12" w:space="3" w:shadow="0" w:frame="0" w:color="A6A6A6"/>
        <w:right w:val="nil" w:sz="0" w:space="0" w:shadow="0" w:frame="0"/>
      </w:pBdr>
      <w:ind w:left="3402"/>
    </w:pPr>
    <w:rPr>
      <w:i w:val="1"/>
      <w:color w:val="373737"/>
      <w:sz w:val="18"/>
    </w:rPr>
  </w:style>
  <w:style w:type="paragraph" w:styleId="P14">
    <w:name w:val="Intense Quote"/>
    <w:basedOn w:val="P0"/>
    <w:next w:val="P0"/>
    <w:qFormat/>
    <w:pPr>
      <w:pBdr>
        <w:top w:val="single" w:sz="4" w:space="3" w:shadow="0" w:frame="0" w:color="808080"/>
        <w:left w:val="single" w:sz="4" w:space="11" w:shadow="0" w:frame="0" w:color="808080"/>
        <w:bottom w:val="single" w:sz="4" w:space="3" w:shadow="0" w:frame="0" w:color="808080"/>
        <w:right w:val="single" w:sz="4" w:space="11" w:shadow="0" w:frame="0" w:color="808080"/>
      </w:pBdr>
      <w:shd w:val="clear" w:fill="D9D9D9"/>
      <w:ind w:left="567" w:right="567"/>
    </w:pPr>
    <w:rPr>
      <w:i w:val="1"/>
      <w:color w:val="606060"/>
      <w:sz w:val="19"/>
    </w:rPr>
  </w:style>
  <w:style w:type="paragraph" w:styleId="P15">
    <w:name w:val="head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Lin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4">
    <w:name w:val="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95B3D7"/>
      </w:tcPr>
    </w:tblStylePr>
    <w:tblStylePr w:type="firstCol">
      <w:tblPr/>
      <w:trPr/>
      <w:tcPr>
        <w:shd w:val="clear" w:color="auto" w:fill="95B3D7"/>
      </w:tcPr>
    </w:tblStylePr>
    <w:tblStylePr w:type="lastRow">
      <w:tblPr/>
      <w:trPr/>
      <w:tcPr>
        <w:shd w:val="clear" w:color="auto" w:fill="95B3D7"/>
      </w:tcPr>
    </w:tblStylePr>
    <w:tblStylePr w:type="firstRow">
      <w:tblPr/>
      <w:trPr/>
      <w:tcPr>
        <w:shd w:val="clear" w:color="auto" w:fill="95B3D7"/>
      </w:tcPr>
    </w:tblStylePr>
  </w:style>
  <w:style w:type="table" w:styleId="T5">
    <w:name w:val="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6">
    <w:name w:val="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7">
    <w:name w:val="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8">
    <w:name w:val="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9">
    <w:name w:val="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DE9E9"/>
      </w:tcPr>
    </w:tblStylePr>
    <w:tblStylePr w:type="band2Vert">
      <w:tblPr/>
      <w:trPr/>
      <w:tcPr>
        <w:shd w:val="clear" w:color="auto" w:fill="FDE9E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table" w:styleId="T10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000000"/>
        </w:tcBorders>
      </w:tcPr>
    </w:tblStylePr>
    <w:tblStylePr w:type="firstCol">
      <w:tblPr/>
      <w:trPr/>
      <w:tcPr>
        <w:tcBorders>
          <w:right w:val="single" w:sz="18" w:space="0" w:shadow="0" w:frame="0" w:color="000000"/>
        </w:tcBorders>
      </w:tcPr>
    </w:tblStylePr>
    <w:tblStylePr w:type="lastRow">
      <w:tblPr/>
      <w:trPr/>
      <w:tcPr>
        <w:tcBorders>
          <w:top w:val="single" w:sz="18" w:space="0" w:shadow="0" w:frame="0" w:color="000000"/>
        </w:tcBorders>
      </w:tcPr>
    </w:tblStylePr>
    <w:tblStylePr w:type="firstRow">
      <w:tblPr/>
      <w:trPr/>
      <w:tcPr>
        <w:tcBorders>
          <w:bottom w:val="single" w:sz="18" w:space="0" w:shadow="0" w:frame="0" w:color="000000"/>
        </w:tcBorders>
      </w:tcPr>
    </w:tblStylePr>
  </w:style>
  <w:style w:type="table" w:styleId="T11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8CCE4"/>
        <w:left w:val="single" w:sz="4" w:space="0" w:shadow="0" w:frame="0" w:color="B8CCE4"/>
        <w:bottom w:val="single" w:sz="4" w:space="0" w:shadow="0" w:frame="0" w:color="B8CCE4"/>
        <w:right w:val="single" w:sz="4" w:space="0" w:shadow="0" w:frame="0" w:color="B8CCE4"/>
        <w:insideH w:val="single" w:sz="4" w:space="0" w:shadow="0" w:frame="0" w:color="B8CCE4"/>
        <w:insideV w:val="single" w:sz="4" w:space="0" w:shadow="0" w:frame="0" w:color="B8CCE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65F91"/>
        </w:tcBorders>
      </w:tcPr>
    </w:tblStylePr>
    <w:tblStylePr w:type="firstCol">
      <w:tblPr/>
      <w:trPr/>
      <w:tcPr>
        <w:tcBorders>
          <w:right w:val="single" w:sz="18" w:space="0" w:shadow="0" w:frame="0" w:color="365F91"/>
        </w:tcBorders>
      </w:tcPr>
    </w:tblStylePr>
    <w:tblStylePr w:type="lastRow">
      <w:tblPr/>
      <w:trPr/>
      <w:tcPr>
        <w:tcBorders>
          <w:top w:val="single" w:sz="18" w:space="0" w:shadow="0" w:frame="0" w:color="365F91"/>
        </w:tcBorders>
      </w:tcPr>
    </w:tblStylePr>
    <w:tblStylePr w:type="firstRow">
      <w:tblPr/>
      <w:trPr/>
      <w:tcPr>
        <w:tcBorders>
          <w:bottom w:val="single" w:sz="18" w:space="0" w:shadow="0" w:frame="0" w:color="365F91"/>
        </w:tcBorders>
      </w:tcPr>
    </w:tblStylePr>
  </w:style>
  <w:style w:type="table" w:styleId="T12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E5B8B7"/>
        <w:left w:val="single" w:sz="4" w:space="0" w:shadow="0" w:frame="0" w:color="E5B8B7"/>
        <w:bottom w:val="single" w:sz="4" w:space="0" w:shadow="0" w:frame="0" w:color="E5B8B7"/>
        <w:right w:val="single" w:sz="4" w:space="0" w:shadow="0" w:frame="0" w:color="E5B8B7"/>
        <w:insideH w:val="single" w:sz="4" w:space="0" w:shadow="0" w:frame="0" w:color="E5B8B7"/>
        <w:insideV w:val="single" w:sz="4" w:space="0" w:shadow="0" w:frame="0" w:color="E5B8B7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943634"/>
        </w:tcBorders>
      </w:tcPr>
    </w:tblStylePr>
    <w:tblStylePr w:type="firstCol">
      <w:tblPr/>
      <w:trPr/>
      <w:tcPr>
        <w:tcBorders>
          <w:right w:val="single" w:sz="18" w:space="0" w:shadow="0" w:frame="0" w:color="943634"/>
        </w:tcBorders>
      </w:tcPr>
    </w:tblStylePr>
    <w:tblStylePr w:type="lastRow">
      <w:tblPr/>
      <w:trPr/>
      <w:tcPr>
        <w:tcBorders>
          <w:top w:val="single" w:sz="18" w:space="0" w:shadow="0" w:frame="0" w:color="943634"/>
        </w:tcBorders>
      </w:tcPr>
    </w:tblStylePr>
    <w:tblStylePr w:type="firstRow">
      <w:tblPr/>
      <w:trPr/>
      <w:tcPr>
        <w:tcBorders>
          <w:bottom w:val="single" w:sz="18" w:space="0" w:shadow="0" w:frame="0" w:color="943634"/>
        </w:tcBorders>
      </w:tcPr>
    </w:tblStylePr>
  </w:style>
  <w:style w:type="table" w:styleId="T13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D6E3BC"/>
        <w:left w:val="single" w:sz="4" w:space="0" w:shadow="0" w:frame="0" w:color="D6E3BC"/>
        <w:bottom w:val="single" w:sz="4" w:space="0" w:shadow="0" w:frame="0" w:color="D6E3BC"/>
        <w:right w:val="single" w:sz="4" w:space="0" w:shadow="0" w:frame="0" w:color="D6E3BC"/>
        <w:insideH w:val="single" w:sz="4" w:space="0" w:shadow="0" w:frame="0" w:color="D6E3BC"/>
        <w:insideV w:val="single" w:sz="4" w:space="0" w:shadow="0" w:frame="0" w:color="D6E3BC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76923C"/>
        </w:tcBorders>
      </w:tcPr>
    </w:tblStylePr>
    <w:tblStylePr w:type="firstCol">
      <w:tblPr/>
      <w:trPr/>
      <w:tcPr>
        <w:tcBorders>
          <w:right w:val="single" w:sz="18" w:space="0" w:shadow="0" w:frame="0" w:color="76923C"/>
        </w:tcBorders>
      </w:tcPr>
    </w:tblStylePr>
    <w:tblStylePr w:type="lastRow">
      <w:tblPr/>
      <w:trPr/>
      <w:tcPr>
        <w:tcBorders>
          <w:top w:val="single" w:sz="18" w:space="0" w:shadow="0" w:frame="0" w:color="76923C"/>
        </w:tcBorders>
      </w:tcPr>
    </w:tblStylePr>
    <w:tblStylePr w:type="firstRow">
      <w:tblPr/>
      <w:trPr/>
      <w:tcPr>
        <w:tcBorders>
          <w:bottom w:val="single" w:sz="18" w:space="0" w:shadow="0" w:frame="0" w:color="76923C"/>
        </w:tcBorders>
      </w:tcPr>
    </w:tblStylePr>
  </w:style>
  <w:style w:type="table" w:styleId="T14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CCC0D9"/>
        <w:left w:val="single" w:sz="4" w:space="0" w:shadow="0" w:frame="0" w:color="CCC0D9"/>
        <w:bottom w:val="single" w:sz="4" w:space="0" w:shadow="0" w:frame="0" w:color="CCC0D9"/>
        <w:right w:val="single" w:sz="4" w:space="0" w:shadow="0" w:frame="0" w:color="CCC0D9"/>
        <w:insideH w:val="single" w:sz="4" w:space="0" w:shadow="0" w:frame="0" w:color="CCC0D9"/>
        <w:insideV w:val="single" w:sz="4" w:space="0" w:shadow="0" w:frame="0" w:color="CCC0D9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5F497A"/>
        </w:tcBorders>
      </w:tcPr>
    </w:tblStylePr>
    <w:tblStylePr w:type="firstCol">
      <w:tblPr/>
      <w:trPr/>
      <w:tcPr>
        <w:tcBorders>
          <w:right w:val="single" w:sz="18" w:space="0" w:shadow="0" w:frame="0" w:color="5F497A"/>
        </w:tcBorders>
      </w:tcPr>
    </w:tblStylePr>
    <w:tblStylePr w:type="lastRow">
      <w:tblPr/>
      <w:trPr/>
      <w:tcPr>
        <w:tcBorders>
          <w:top w:val="single" w:sz="18" w:space="0" w:shadow="0" w:frame="0" w:color="5F497A"/>
        </w:tcBorders>
      </w:tcPr>
    </w:tblStylePr>
    <w:tblStylePr w:type="firstRow">
      <w:tblPr/>
      <w:trPr/>
      <w:tcPr>
        <w:tcBorders>
          <w:bottom w:val="single" w:sz="18" w:space="0" w:shadow="0" w:frame="0" w:color="5F497A"/>
        </w:tcBorders>
      </w:tcPr>
    </w:tblStylePr>
  </w:style>
  <w:style w:type="table" w:styleId="T15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1849B"/>
        </w:tcBorders>
      </w:tcPr>
    </w:tblStylePr>
    <w:tblStylePr w:type="firstCol">
      <w:tblPr/>
      <w:trPr/>
      <w:tcPr>
        <w:tcBorders>
          <w:right w:val="single" w:sz="18" w:space="0" w:shadow="0" w:frame="0" w:color="31849B"/>
        </w:tcBorders>
      </w:tcPr>
    </w:tblStylePr>
    <w:tblStylePr w:type="lastRow">
      <w:tblPr/>
      <w:trPr/>
      <w:tcPr>
        <w:tcBorders>
          <w:top w:val="single" w:sz="18" w:space="0" w:shadow="0" w:frame="0" w:color="31849B"/>
        </w:tcBorders>
      </w:tcPr>
    </w:tblStylePr>
    <w:tblStylePr w:type="firstRow">
      <w:tblPr/>
      <w:trPr/>
      <w:tcPr>
        <w:tcBorders>
          <w:bottom w:val="single" w:sz="18" w:space="0" w:shadow="0" w:frame="0" w:color="31849B"/>
        </w:tcBorders>
      </w:tcPr>
    </w:tblStylePr>
  </w:style>
  <w:style w:type="table" w:styleId="T16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E36C0A"/>
        </w:tcBorders>
      </w:tcPr>
    </w:tblStylePr>
    <w:tblStylePr w:type="firstCol">
      <w:tblPr/>
      <w:trPr/>
      <w:tcPr>
        <w:tcBorders>
          <w:right w:val="single" w:sz="18" w:space="0" w:shadow="0" w:frame="0" w:color="E36C0A"/>
        </w:tcBorders>
      </w:tcPr>
    </w:tblStylePr>
    <w:tblStylePr w:type="lastRow">
      <w:tblPr/>
      <w:trPr/>
      <w:tcPr>
        <w:tcBorders>
          <w:top w:val="single" w:sz="18" w:space="0" w:shadow="0" w:frame="0" w:color="E36C0A"/>
        </w:tcBorders>
      </w:tcPr>
    </w:tblStylePr>
    <w:tblStylePr w:type="firstRow">
      <w:tblPr/>
      <w:trPr/>
      <w:tcPr>
        <w:tcBorders>
          <w:bottom w:val="single" w:sz="18" w:space="0" w:shadow="0" w:frame="0" w:color="E36C0A"/>
        </w:tcBorders>
      </w:tcPr>
    </w:tblStylePr>
  </w:style>
  <w:style w:type="table" w:styleId="T17">
    <w:name w:val="Bordered &amp; Lined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18">
    <w:name w:val="Bordered &amp; 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17365D"/>
        <w:left w:val="single" w:sz="4" w:space="0" w:shadow="0" w:frame="0" w:color="17365D"/>
        <w:bottom w:val="single" w:sz="4" w:space="0" w:shadow="0" w:frame="0" w:color="17365D"/>
        <w:right w:val="single" w:sz="4" w:space="0" w:shadow="0" w:frame="0" w:color="17365D"/>
        <w:insideH w:val="single" w:sz="4" w:space="0" w:shadow="0" w:frame="0" w:color="17365D"/>
        <w:insideV w:val="single" w:sz="4" w:space="0" w:shadow="0" w:frame="0" w:color="17365D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8DB3E2"/>
      </w:tcPr>
    </w:tblStylePr>
    <w:tblStylePr w:type="firstCol">
      <w:tblPr/>
      <w:trPr/>
      <w:tcPr>
        <w:shd w:val="clear" w:color="auto" w:fill="8DB3E2"/>
      </w:tcPr>
    </w:tblStylePr>
    <w:tblStylePr w:type="lastRow">
      <w:tblPr/>
      <w:trPr/>
      <w:tcPr>
        <w:shd w:val="clear" w:color="auto" w:fill="8DB3E2"/>
      </w:tcPr>
    </w:tblStylePr>
    <w:tblStylePr w:type="firstRow">
      <w:tblPr/>
      <w:trPr/>
      <w:tcPr>
        <w:shd w:val="clear" w:color="auto" w:fill="8DB3E2"/>
      </w:tcPr>
    </w:tblStylePr>
  </w:style>
  <w:style w:type="table" w:styleId="T19">
    <w:name w:val="Bordered &amp; 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943634"/>
        <w:left w:val="single" w:sz="4" w:space="0" w:shadow="0" w:frame="0" w:color="943634"/>
        <w:bottom w:val="single" w:sz="4" w:space="0" w:shadow="0" w:frame="0" w:color="943634"/>
        <w:right w:val="single" w:sz="4" w:space="0" w:shadow="0" w:frame="0" w:color="943634"/>
        <w:insideH w:val="single" w:sz="4" w:space="0" w:shadow="0" w:frame="0" w:color="943634"/>
        <w:insideV w:val="single" w:sz="4" w:space="0" w:shadow="0" w:frame="0" w:color="943634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20">
    <w:name w:val="Bordered &amp; 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76923C"/>
        <w:left w:val="single" w:sz="4" w:space="0" w:shadow="0" w:frame="0" w:color="76923C"/>
        <w:bottom w:val="single" w:sz="4" w:space="0" w:shadow="0" w:frame="0" w:color="76923C"/>
        <w:right w:val="single" w:sz="4" w:space="0" w:shadow="0" w:frame="0" w:color="76923C"/>
        <w:insideH w:val="single" w:sz="4" w:space="0" w:shadow="0" w:frame="0" w:color="76923C"/>
        <w:insideV w:val="single" w:sz="4" w:space="0" w:shadow="0" w:frame="0" w:color="76923C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21">
    <w:name w:val="Bordered &amp; 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5F497A"/>
        <w:left w:val="single" w:sz="4" w:space="0" w:shadow="0" w:frame="0" w:color="5F497A"/>
        <w:bottom w:val="single" w:sz="4" w:space="0" w:shadow="0" w:frame="0" w:color="5F497A"/>
        <w:right w:val="single" w:sz="4" w:space="0" w:shadow="0" w:frame="0" w:color="5F497A"/>
        <w:insideH w:val="single" w:sz="4" w:space="0" w:shadow="0" w:frame="0" w:color="5F497A"/>
        <w:insideV w:val="single" w:sz="4" w:space="0" w:shadow="0" w:frame="0" w:color="5F497A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22">
    <w:name w:val="Bordered &amp; 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31849B"/>
        <w:left w:val="single" w:sz="4" w:space="0" w:shadow="0" w:frame="0" w:color="31849B"/>
        <w:bottom w:val="single" w:sz="4" w:space="0" w:shadow="0" w:frame="0" w:color="31849B"/>
        <w:right w:val="single" w:sz="4" w:space="0" w:shadow="0" w:frame="0" w:color="31849B"/>
        <w:insideH w:val="single" w:sz="4" w:space="0" w:shadow="0" w:frame="0" w:color="31849B"/>
        <w:insideV w:val="single" w:sz="4" w:space="0" w:shadow="0" w:frame="0" w:color="31849B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23">
    <w:name w:val="Bordered &amp; 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Ind w:w="0" w:type="dxa"/>
      <w:tblBorders>
        <w:top w:val="single" w:sz="4" w:space="0" w:shadow="0" w:frame="0" w:color="E36C0A"/>
        <w:left w:val="single" w:sz="4" w:space="0" w:shadow="0" w:frame="0" w:color="E36C0A"/>
        <w:bottom w:val="single" w:sz="4" w:space="0" w:shadow="0" w:frame="0" w:color="E36C0A"/>
        <w:right w:val="single" w:sz="4" w:space="0" w:shadow="0" w:frame="0" w:color="E36C0A"/>
        <w:insideH w:val="single" w:sz="4" w:space="0" w:shadow="0" w:frame="0" w:color="E36C0A"/>
        <w:insideV w:val="single" w:sz="4" w:space="0" w:shadow="0" w:frame="0" w:color="E36C0A"/>
      </w:tblBorders>
      <w:tblCellMar>
        <w:top w:w="0" w:type="dxa"/>
        <w:left w:w="1" w:type="dxa"/>
        <w:bottom w:w="0" w:type="dxa"/>
        <w:right w:w="1" w:type="dxa"/>
      </w:tblCellMar>
    </w:tblPr>
    <w:trPr/>
    <w:tcPr/>
    <w:tblStylePr w:type="band2Horz">
      <w:tblPr/>
      <w:trPr/>
      <w:tcPr>
        <w:shd w:val="clear" w:color="auto" w:fill="FDE9D9"/>
      </w:tcPr>
    </w:tblStylePr>
    <w:tblStylePr w:type="band2Vert">
      <w:tblPr/>
      <w:trPr/>
      <w:tcPr>
        <w:shd w:val="clear" w:color="auto" w:fill="FDE9D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2016-08-11T07:55:02Z</dcterms:created>
  <cp:lastModifiedBy>NT AUTHORITY\SYSTEM</cp:lastModifiedBy>
  <dcterms:modified xsi:type="dcterms:W3CDTF">2017-05-09T10:25:46Z</dcterms:modified>
  <cp:revision>21</cp:revision>
</cp:coreProperties>
</file>