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58AF5832" Type="http://schemas.openxmlformats.org/officeDocument/2006/relationships/officeDocument" Target="/word/document.xml" /><Relationship Id="coreR58AF583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Look w:val="04A0"/>
      </w:tblPr>
      <w:tblGrid/>
      <w:tr>
        <w:tblPrEx>
          <w:tblW w:w="0" w:type="auto"/>
          <w:tblLook w:val="04A0"/>
        </w:tblPrEx>
        <w:tc>
          <w:tcPr>
            <w:tcW w:w="9287" w:type="dxa"/>
            <w:shd w:val="clear" w:color="auto" w:fill="BCD7ED"/>
          </w:tcPr>
          <w:p>
            <w:pPr>
              <w:spacing w:lineRule="auto" w:line="240" w:beforeAutospacing="0" w:afterAutospacing="0"/>
              <w:contextualSpacing w:val="1"/>
              <w:rPr>
                <w:color w:val="002060"/>
                <w:sz w:val="28"/>
              </w:rPr>
            </w:pPr>
            <w:bookmarkStart w:id="0" w:name="_GoBack"/>
            <w:bookmarkEnd w:id="0"/>
            <w:r>
              <w:rPr>
                <w:b w:val="1"/>
                <w:color w:val="002060"/>
              </w:rPr>
              <w:t xml:space="preserve">A- İŞE İLİŞKİN BİLGİLER   </w:t>
            </w:r>
          </w:p>
        </w:tc>
      </w:tr>
      <w:tr>
        <w:tblPrEx>
          <w:tblW w:w="0" w:type="auto"/>
          <w:tblLook w:val="04A0"/>
        </w:tblPrEx>
        <w:tc>
          <w:tcPr>
            <w:tcW w:w="9287" w:type="dxa"/>
            <w:shd w:val="clear" w:color="auto" w:fill="FFFFFF"/>
          </w:tcPr>
          <w:p>
            <w:pPr>
              <w:shd w:val="clear" w:fill="FFFFFF"/>
              <w:rPr>
                <w:color w:val="0070C0"/>
                <w:sz w:val="28"/>
              </w:rPr>
            </w:pPr>
            <w:r>
              <w:rPr>
                <w:b w:val="1"/>
                <w:color w:val="0070C0"/>
              </w:rPr>
              <w:t>İşin Kısa Tanımı</w:t>
            </w:r>
          </w:p>
        </w:tc>
      </w:tr>
      <w:tr>
        <w:tblPrEx>
          <w:tblW w:w="0" w:type="auto"/>
          <w:tblLook w:val="04A0"/>
        </w:tblPrEx>
        <w:trPr>
          <w:trHeight w:hRule="atLeast" w:val="768"/>
        </w:trPr>
        <w:tc>
          <w:tcPr>
            <w:tcW w:w="9287" w:type="dxa"/>
          </w:tcPr>
          <w:p>
            <w:pPr>
              <w:jc w:val="both"/>
            </w:pPr>
            <w:r>
              <w:t xml:space="preserve">- Üniversitemiz üst yönetimi tarafından belirlenen, amaç, ilke ve talimatlara uygun olarak,  araç, gereç ve malzeme temini ve demirbaşların kayıt edilmesi ve korunması,   personelin özlük, maaş vb. işlemlerinin yapılması. </w:t>
            </w:r>
          </w:p>
        </w:tc>
      </w:tr>
      <w:tr>
        <w:tblPrEx>
          <w:tblW w:w="0" w:type="auto"/>
          <w:tblLook w:val="04A0"/>
        </w:tblPrEx>
        <w:trPr>
          <w:trHeight w:hRule="atLeast" w:val="324"/>
        </w:trPr>
        <w:tc>
          <w:tcPr>
            <w:tcW w:w="9287" w:type="dxa"/>
            <w:shd w:val="clear" w:color="auto" w:fill="FFFFFF"/>
          </w:tcPr>
          <w:p>
            <w:pPr>
              <w:tabs>
                <w:tab w:val="left" w:pos="5610" w:leader="none"/>
              </w:tabs>
              <w:rPr>
                <w:color w:val="0070C0"/>
                <w:sz w:val="28"/>
              </w:rPr>
            </w:pPr>
            <w:r>
              <w:rPr>
                <w:b w:val="1"/>
                <w:color w:val="0070C0"/>
              </w:rPr>
              <w:t>Görev ve Sorumluluklar</w:t>
            </w:r>
          </w:p>
        </w:tc>
      </w:tr>
      <w:tr>
        <w:tblPrEx>
          <w:tblW w:w="0" w:type="auto"/>
          <w:tblLook w:val="04A0"/>
        </w:tblPrEx>
        <w:trPr>
          <w:trHeight w:hRule="atLeast" w:val="753"/>
        </w:trPr>
        <w:tc>
          <w:tcPr>
            <w:tcW w:w="9287" w:type="dxa"/>
          </w:tcPr>
          <w:p>
            <w:r>
              <w:t>-Yakıt, su, aydınlatma giderleri.</w:t>
            </w:r>
          </w:p>
          <w:p>
            <w:r>
              <w:t>-Bina ve eğitim öğretimde kullanılan makine teçhizatın bakım onarım giderlerinin ödenmesiyle ilgili evrakları düzenlemek ve arşivlemek.</w:t>
            </w:r>
          </w:p>
          <w:p>
            <w:r>
              <w:t>-SGK prim ödeme işlemleri.</w:t>
            </w:r>
          </w:p>
          <w:p>
            <w:r>
              <w:t>-Staj Yapan Öğrencilerin işe başlama işten ayrılma ve prim ödemesi işlemleri.</w:t>
            </w:r>
          </w:p>
          <w:p>
            <w:r>
              <w:t>-SAY 2000 sisteminin güncel tutulması.</w:t>
            </w:r>
          </w:p>
          <w:p>
            <w:r>
              <w:t>-Bütçe hazırlama süreçleri.</w:t>
            </w:r>
          </w:p>
          <w:p>
            <w:r>
              <w:t>-Satın alma süreçleri ve ödeme işlemlerinin takibi.</w:t>
            </w:r>
          </w:p>
          <w:p>
            <w:r>
              <w:t>-Personel emeklilik işlemleri.</w:t>
            </w:r>
          </w:p>
          <w:p>
            <w:r>
              <w:t>-Göreve başlama ve özlük işlemleri.</w:t>
            </w:r>
          </w:p>
          <w:p>
            <w:r>
              <w:t>-Görev yollukları,konferans,kongre,seminer katılım ..vb ödemeleri yapmak.</w:t>
            </w:r>
          </w:p>
          <w:p>
            <w:r>
              <w:t>-Ayniyat işlemleri ,demirbaş sayım ve demirbaş düşüm işlemleri.</w:t>
            </w:r>
          </w:p>
          <w:p>
            <w:r>
              <w:t>-Faaliyet raporu ve Stratejik plan hazırlama süreçleri.</w:t>
            </w:r>
          </w:p>
          <w:p>
            <w:r>
              <w:t>-Başkanlığımız demirbaşlarının talep eden birim personelimize teslim edilmesi ve takibi işlemleri.</w:t>
            </w:r>
          </w:p>
        </w:tc>
      </w:tr>
      <w:tr>
        <w:tblPrEx>
          <w:tblW w:w="0" w:type="auto"/>
          <w:tblLook w:val="04A0"/>
        </w:tblPrEx>
        <w:tc>
          <w:tcPr>
            <w:tcW w:w="9287" w:type="dxa"/>
            <w:shd w:val="clear" w:color="auto" w:fill="FFFFFF"/>
          </w:tcPr>
          <w:p>
            <w:pPr>
              <w:rPr>
                <w:color w:val="0070C0"/>
                <w:sz w:val="28"/>
              </w:rPr>
            </w:pPr>
            <w:r>
              <w:rPr>
                <w:b w:val="1"/>
                <w:color w:val="0070C0"/>
              </w:rPr>
              <w:t>Yetkiler</w:t>
            </w:r>
          </w:p>
        </w:tc>
      </w:tr>
      <w:tr>
        <w:tblPrEx>
          <w:tblW w:w="0" w:type="auto"/>
          <w:tblLook w:val="04A0"/>
        </w:tblPrEx>
        <w:trPr>
          <w:trHeight w:hRule="atLeast" w:val="753"/>
        </w:trPr>
        <w:tc>
          <w:tcPr>
            <w:tcW w:w="9287" w:type="dxa"/>
          </w:tcPr>
          <w:p>
            <w:r>
              <w:t>- Say2000i ve KBS uygulamalarını kullanmak .</w:t>
            </w:r>
          </w:p>
          <w:p>
            <w:r>
              <w:t>-Yukarıda belirtilen görev ve sorumlulukları gerçekleştirme yetkisine sahip olmak.</w:t>
            </w:r>
          </w:p>
          <w:p>
            <w:r>
              <w:t>- Faaliyetlerinin gerektirdiği her türlü araç, gereç ve malzemeyi kullanabilmek.</w:t>
            </w:r>
          </w:p>
        </w:tc>
      </w:tr>
      <w:tr>
        <w:tblPrEx>
          <w:tblW w:w="0" w:type="auto"/>
          <w:tblLook w:val="04A0"/>
        </w:tblPrEx>
        <w:tc>
          <w:tcPr>
            <w:tcW w:w="9287" w:type="dxa"/>
            <w:shd w:val="clear" w:color="auto" w:fill="FFFFFF"/>
          </w:tcPr>
          <w:p>
            <w:pPr>
              <w:rPr>
                <w:color w:val="0070C0"/>
                <w:sz w:val="28"/>
              </w:rPr>
            </w:pPr>
            <w:r>
              <w:rPr>
                <w:b w:val="1"/>
                <w:color w:val="0070C0"/>
              </w:rPr>
              <w:t>İlgili Mevzuat</w:t>
            </w:r>
          </w:p>
        </w:tc>
      </w:tr>
      <w:tr>
        <w:tblPrEx>
          <w:tblW w:w="0" w:type="auto"/>
          <w:tblLook w:val="04A0"/>
        </w:tblPrEx>
        <w:trPr>
          <w:trHeight w:hRule="atLeast" w:val="894"/>
        </w:trPr>
        <w:tc>
          <w:tcPr>
            <w:tcW w:w="9287" w:type="dxa"/>
          </w:tcPr>
          <w:p>
            <w:r>
              <w:t xml:space="preserve">657 sayılı Devlet Memurları Kanunu, 5018  sayılı Kamu Mali Yönetimi ve Kontrol Kanunu ve İkincil Mevzuat, 6245 sayılı Harcırah Kanunu, 4734 sayılı Kamu İhale Kanunu, 4735 sayılı Kamu İhale Sözleşmeleri Kanunu, 488 sayılı Damga vergisi Kanunu, 213 sayılı Vergi Usul Kanunu, 193 sayılı Gelir Vergisi Kanunu, 6085 sayılı Sayıştay Kanunu,2489 sayılı Kefalet Kanunu, 6183 sayılı Amme Alacaklarının Tahsil Usulü Hakkında Kanun.</w:t>
            </w:r>
          </w:p>
        </w:tc>
      </w:tr>
      <w:tr>
        <w:tblPrEx>
          <w:tblW w:w="0" w:type="auto"/>
          <w:tblLook w:val="04A0"/>
        </w:tblPrEx>
        <w:tc>
          <w:tcPr>
            <w:tcW w:w="9287" w:type="dxa"/>
            <w:shd w:val="clear" w:color="auto" w:fill="BCD7ED"/>
          </w:tcPr>
          <w:p>
            <w:pPr>
              <w:rPr>
                <w:color w:val="002060"/>
                <w:sz w:val="28"/>
              </w:rPr>
            </w:pPr>
            <w:r>
              <w:rPr>
                <w:b w:val="1"/>
                <w:color w:val="002060"/>
              </w:rPr>
              <w:t>B- ATANACAKLARDA ARANACAK NİTELİKLER</w:t>
            </w:r>
          </w:p>
        </w:tc>
      </w:tr>
      <w:tr>
        <w:tblPrEx>
          <w:tblW w:w="0" w:type="auto"/>
          <w:tblLook w:val="04A0"/>
        </w:tblPrEx>
        <w:tc>
          <w:tcPr>
            <w:tcW w:w="9287" w:type="dxa"/>
            <w:shd w:val="clear" w:color="auto" w:fill="FFFFFF"/>
          </w:tcPr>
          <w:p>
            <w:pPr>
              <w:rPr>
                <w:color w:val="0070C0"/>
                <w:sz w:val="28"/>
              </w:rPr>
            </w:pPr>
            <w:r>
              <w:rPr>
                <w:b w:val="1"/>
                <w:color w:val="0070C0"/>
              </w:rPr>
              <w:t>Gerekli Öğrenim Düzeyi Ve Bölümü</w:t>
            </w:r>
          </w:p>
        </w:tc>
      </w:tr>
      <w:tr>
        <w:tblPrEx>
          <w:tblW w:w="0" w:type="auto"/>
          <w:tblLook w:val="04A0"/>
        </w:tblPrEx>
        <w:trPr>
          <w:trHeight w:hRule="atLeast" w:val="398"/>
        </w:trPr>
        <w:tc>
          <w:tcPr>
            <w:tcW w:w="9287" w:type="dxa"/>
            <w:shd w:val="clear" w:color="auto" w:fill="FFFFFF"/>
          </w:tcPr>
          <w:p>
            <w:r>
              <w:t>Lise</w:t>
            </w:r>
          </w:p>
        </w:tc>
      </w:tr>
      <w:tr>
        <w:tblPrEx>
          <w:tblW w:w="0" w:type="auto"/>
          <w:tblLook w:val="04A0"/>
        </w:tblPrEx>
        <w:tc>
          <w:tcPr>
            <w:tcW w:w="9287" w:type="dxa"/>
            <w:shd w:val="clear" w:color="auto" w:fill="FFFFFF"/>
          </w:tcPr>
          <w:p>
            <w:pPr>
              <w:rPr>
                <w:color w:val="0070C0"/>
                <w:sz w:val="28"/>
              </w:rPr>
            </w:pPr>
            <w:r>
              <w:rPr>
                <w:b w:val="1"/>
                <w:color w:val="0070C0"/>
              </w:rPr>
              <w:t>Gerekli Mesleki Eğitim, Sertifikalar ve Diğer Eğitimler</w:t>
            </w:r>
          </w:p>
        </w:tc>
      </w:tr>
      <w:tr>
        <w:tblPrEx>
          <w:tblW w:w="0" w:type="auto"/>
          <w:tblLook w:val="04A0"/>
        </w:tblPrEx>
        <w:trPr>
          <w:trHeight w:hRule="atLeast" w:val="631"/>
        </w:trPr>
        <w:tc>
          <w:tcPr>
            <w:tcW w:w="9287" w:type="dxa"/>
            <w:shd w:val="clear" w:color="auto" w:fill="FFFFFF"/>
          </w:tcPr>
          <w:p>
            <w:r>
              <w:t>-657 sayılı Devlet Memurları Kanununa göre atanmış olmak.</w:t>
            </w:r>
          </w:p>
          <w:p>
            <w:r>
              <w:t>- En az lise veya dengi okul mezunu olmak.</w:t>
            </w:r>
          </w:p>
          <w:p>
            <w:r>
              <w:t>- Muhasebe işlemleri ile ilgili mevzuatı bilmek.</w:t>
            </w:r>
          </w:p>
          <w:p>
            <w:r>
              <w:t xml:space="preserve">-Görevini gereği gibi yerine getirebilmek için gerekli iş deneyimine sahip olmak. </w:t>
            </w:r>
          </w:p>
        </w:tc>
      </w:tr>
      <w:tr>
        <w:tblPrEx>
          <w:tblW w:w="0" w:type="auto"/>
          <w:tblLook w:val="04A0"/>
        </w:tblPrEx>
        <w:tc>
          <w:tcPr>
            <w:tcW w:w="9287" w:type="dxa"/>
            <w:shd w:val="clear" w:color="auto" w:fill="FFFFFF"/>
          </w:tcPr>
          <w:p>
            <w:pPr>
              <w:rPr>
                <w:color w:val="0070C0"/>
                <w:sz w:val="28"/>
              </w:rPr>
            </w:pPr>
            <w:r>
              <w:rPr>
                <w:b w:val="1"/>
                <w:color w:val="0070C0"/>
              </w:rPr>
              <w:t>Gerekli Yabancı Dil Bilgisi ve Düzeyi</w:t>
            </w:r>
          </w:p>
        </w:tc>
      </w:tr>
      <w:tr>
        <w:tblPrEx>
          <w:tblW w:w="0" w:type="auto"/>
          <w:tblLook w:val="04A0"/>
        </w:tblPrEx>
        <w:trPr>
          <w:trHeight w:hRule="atLeast" w:val="354"/>
        </w:trPr>
        <w:tc>
          <w:tcPr>
            <w:tcW w:w="9287" w:type="dxa"/>
            <w:shd w:val="clear" w:color="auto" w:fill="FFFFFF"/>
          </w:tcPr>
          <w:p>
            <w:r>
              <w:rPr>
                <w:rFonts w:ascii="Arial" w:hAnsi="Arial"/>
                <w:sz w:val="22"/>
              </w:rPr>
              <w:t>Herhangi bir yabancı dil bilgisi gerekmektedir.</w:t>
            </w:r>
          </w:p>
        </w:tc>
      </w:tr>
      <w:tr>
        <w:tblPrEx>
          <w:tblW w:w="0" w:type="auto"/>
          <w:tblLook w:val="04A0"/>
        </w:tblPrEx>
        <w:tc>
          <w:tcPr>
            <w:tcW w:w="9287" w:type="dxa"/>
            <w:shd w:val="clear" w:color="auto" w:fill="FFFFFF"/>
          </w:tcPr>
          <w:p>
            <w:pPr>
              <w:rPr>
                <w:color w:val="0070C0"/>
                <w:sz w:val="28"/>
              </w:rPr>
            </w:pPr>
            <w:r>
              <w:rPr>
                <w:b w:val="1"/>
                <w:color w:val="0070C0"/>
              </w:rPr>
              <w:t>Gerekli Hizmet Süresi</w:t>
            </w:r>
          </w:p>
        </w:tc>
      </w:tr>
      <w:tr>
        <w:tblPrEx>
          <w:tblW w:w="0" w:type="auto"/>
          <w:tblLook w:val="04A0"/>
        </w:tblPrEx>
        <w:tc>
          <w:tcPr>
            <w:tcW w:w="9287" w:type="dxa"/>
            <w:shd w:val="clear" w:color="auto" w:fill="FFFFFF"/>
          </w:tcPr>
          <w:p/>
        </w:tc>
      </w:tr>
    </w:tbl>
    <w:p/>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
    <w:tblGrid/>
    <w:tr>
      <w:tblPrEx>
        <w:tblW w:w="9180" w:type="dxa"/>
        <w:tblBorders>
          <w:top w:val="nil" w:sz="0" w:space="0" w:shadow="0" w:frame="0"/>
          <w:left w:val="nil" w:sz="0" w:space="0" w:shadow="0" w:frame="0"/>
          <w:bottom w:val="nil" w:sz="0" w:space="0" w:shadow="0" w:frame="0"/>
          <w:right w:val="nil" w:sz="0" w:space="0" w:shadow="0" w:frame="0"/>
          <w:insideH w:val="nil" w:sz="0" w:space="0" w:shadow="0" w:frame="0"/>
          <w:insideV w:val="nil" w:sz="0" w:space="0" w:shadow="0" w:frame="0"/>
        </w:tblBorders>
        <w:tblLayout w:type="fixed"/>
        <w:tblLook w:val="04A0"/>
      </w:tblPrEx>
      <w:trPr>
        <w:trHeight w:hRule="atLeast" w:val="357"/>
      </w:trPr>
      <w:tc>
        <w:tcPr>
          <w:tcW w:w="1668" w:type="dxa"/>
          <w:tcBorders>
            <w:bottom w:val="single" w:sz="4" w:space="0" w:shadow="0" w:frame="0" w:color="000000"/>
          </w:tcBorders>
        </w:tcPr>
        <w:p>
          <w:pPr>
            <w:tabs>
              <w:tab w:val="center" w:pos="726" w:leader="none"/>
            </w:tabs>
            <w:rPr>
              <w:b w:val="1"/>
            </w:rPr>
          </w:pPr>
        </w:p>
      </w:tc>
      <w:tc>
        <w:tcPr>
          <w:tcW w:w="7512" w:type="dxa"/>
          <w:tcBorders>
            <w:bottom w:val="single" w:sz="4" w:space="0" w:shadow="0" w:frame="0" w:color="000000"/>
          </w:tcBorders>
        </w:tcPr>
        <w:p>
          <w:pPr>
            <w:pStyle w:val="P15"/>
            <w:tabs>
              <w:tab w:val="clear" w:pos="7143" w:leader="none"/>
              <w:tab w:val="clear" w:pos="14287" w:leader="none"/>
            </w:tabs>
            <w:rPr>
              <w:b w:val="1"/>
            </w:rPr>
          </w:pPr>
        </w:p>
      </w:tc>
    </w:tr>
    <w:tr>
      <w:tblPrEx>
        <w:tblW w:w="9180" w:type="dxa"/>
        <w:tblLayout w:type="fixed"/>
        <w:tblLook w:val="04A0"/>
      </w:tblPrEx>
      <w:trPr>
        <w:trHeight w:hRule="atLeast" w:val="38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BİRİMİ</w:t>
            <w:tab/>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5"/>
            <w:tabs>
              <w:tab w:val="clear" w:pos="7143" w:leader="none"/>
              <w:tab w:val="clear" w:pos="14287" w:leader="none"/>
            </w:tabs>
            <w:rPr>
              <w:b w:val="1"/>
            </w:rPr>
          </w:pPr>
          <w:r>
            <w:rPr>
              <w:b w:val="1"/>
            </w:rPr>
            <w:t>YAPI İŞLERİ VE TEKNİK DAİRE BAŞKANLIĞI</w:t>
          </w:r>
        </w:p>
      </w:tc>
    </w:tr>
    <w:tr>
      <w:tblPrEx>
        <w:tblW w:w="9180" w:type="dxa"/>
        <w:tblLayout w:type="fixed"/>
        <w:tblLook w:val="04A0"/>
      </w:tblPrEx>
      <w:trPr>
        <w:trHeight w:hRule="atLeast" w:val="401"/>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CD7ED"/>
          <w:vAlign w:val="center"/>
        </w:tcPr>
        <w:p>
          <w:pPr>
            <w:tabs>
              <w:tab w:val="center" w:pos="726" w:leader="none"/>
            </w:tabs>
            <w:rPr>
              <w:b w:val="1"/>
            </w:rPr>
          </w:pPr>
          <w:r>
            <w:rPr>
              <w:b w:val="1"/>
            </w:rPr>
            <w:t>GÖREVİ</w:t>
          </w:r>
        </w:p>
      </w:tc>
      <w:tc>
        <w:tcPr>
          <w:tcW w:w="751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r>
            <w:t xml:space="preserve">İDARİ VE MALİ İŞLER GÖREVLİSİ </w:t>
          </w:r>
        </w:p>
      </w:tc>
    </w:tr>
  </w:tbl>
  <w:p/>
</w:hdr>
</file>

<file path=word/numbering.xml><?xml version="1.0" encoding="utf-8"?>
<w:numbering xmlns:w="http://schemas.openxmlformats.org/wordprocessingml/2006/main">
  <w:abstractNum w:abstractNumId="0">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one" w:sz="0" w:space="0" w:shadow="0" w:frame="0"/>
        <w:left w:val="none" w:sz="0" w:space="0" w:shadow="0" w:frame="0"/>
        <w:bottom w:val="single" w:sz="24" w:space="0" w:shadow="0" w:frame="0" w:color="000000"/>
        <w:right w:val="none"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one" w:sz="0" w:space="0" w:shadow="0" w:frame="0"/>
        <w:left w:val="single" w:sz="12" w:space="11" w:shadow="0" w:frame="0" w:color="A6A6A6"/>
        <w:bottom w:val="single" w:sz="12" w:space="3" w:shadow="0" w:frame="0" w:color="A6A6A6"/>
        <w:right w:val="none"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table" w:styleId="T2">
    <w:name w:val="Table Grid"/>
    <w:basedOn w:val="T0"/>
    <w:pPr>
      <w:spacing w:lineRule="auto" w:line="240" w:after="0" w:beforeAutospacing="0" w:afterAutospacing="0"/>
    </w:pPr>
    <w:tblPr>
      <w:tblStyleRowBandSize w:val="1"/>
      <w:tblStyleColBandSize w:val="1"/>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table" w:styleId="T3">
    <w:name w:val="Lined"/>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CellMar>
        <w:left w:w="1"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left w:w="1"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left w:w="1"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left w:w="1"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left w:w="1"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left w:w="1"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left w:w="1"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left w:w="1"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left w:w="1"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left w:w="1"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left w:w="1"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left w:w="1"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left w:w="1"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left w:w="1"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left w:w="1"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2016-08-11T07:55:00Z</dcterms:created>
  <cp:lastModifiedBy>NT AUTHORITY\SYSTEM</cp:lastModifiedBy>
  <dcterms:modified xsi:type="dcterms:W3CDTF">2017-05-09T11:23:44Z</dcterms:modified>
  <cp:revision>26</cp:revision>
</cp:coreProperties>
</file>